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2024 17 vom 3. April 2024</w:t>
      </w:r>
    </w:p>
    <w:p>
      <w:r>
        <w:t>GR Gerichte, 2024-04-03, DE</w:t>
      </w:r>
    </w:p>
    <w:p>
      <w:r>
        <w:rPr>
          <w:b/>
        </w:rPr>
        <w:t xml:space="preserve">Quelle: </w:t>
      </w:r>
      <w:r>
        <w:t>https://mcp.opencaselaw.ch/entscheid/gr_gerichte_SK2 2024 17</w:t>
      </w:r>
    </w:p>
    <w:p>
      <w:r>
        <w:t>FR: GR_GERICHTE SK2 2024 17 du 3 avril 2024</w:t>
      </w:r>
    </w:p>
    <w:p>
      <w:r>
        <w:t>IT: GR_GERICHTE SK2 2024 17 del 3 aprile 2024</w:t>
      </w:r>
    </w:p>
    <w:p>
      <w:pPr>
        <w:pStyle w:val="Heading2"/>
      </w:pPr>
      <w:r>
        <w:t>Regeste</w:t>
      </w:r>
    </w:p>
    <w:p>
      <w:r>
        <w:t>unrechtmässige Aneignung | Beschwerde gegen StA, Nichtanhandnahmeverfügung StPO 310 (früher Ablehnungsverfügung)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vorliegende Entscheidung ergeht gestützt auf Art. 388 Abs. 2 lit. a StPO in einzelrichterlicher Kompetenz. 4.1. Bei diesem Ausgang des Verfahrens wird die Beschwerdeführerin kosten- pflichtig (Art. 428 Abs. 1 StPO). Die Gerichtskosten werden in Anwendung von Art.</w:t>
      </w:r>
    </w:p>
    <w:p>
      <w:r>
        <w:rPr>
          <w:b/>
        </w:rPr>
        <w:t>E. 8</w:t>
      </w:r>
    </w:p>
    <w:p>
      <w:r>
        <w:t>und 10 VGS (BR 350.210) auf CHF 300.00 festgesetzt und der Beschwerdefüh- rerin auferlegt. 4.2. Mangels Einholen von Stellungnahmen (vgl. act. D.1) werden keine Ent- schädigungen gesprochen.</w:t>
      </w:r>
    </w:p>
    <w:p>
      <w:r>
        <w:t>4 /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